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72DF" w:rsidRPr="00DE5D02" w:rsidRDefault="00C872DF" w:rsidP="00C872D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  <w:r w:rsidRPr="00DE5D02">
        <w:rPr>
          <w:rFonts w:ascii="Arial" w:eastAsia="Times New Roman" w:hAnsi="Arial" w:cs="Arial"/>
          <w:sz w:val="24"/>
          <w:szCs w:val="24"/>
          <w:lang w:eastAsia="pl-PL"/>
        </w:rPr>
        <w:t xml:space="preserve">Kolekcja francuskojęzyczna </w:t>
      </w:r>
      <w:r>
        <w:rPr>
          <w:rFonts w:ascii="Arial" w:eastAsia="Times New Roman" w:hAnsi="Arial" w:cs="Arial"/>
          <w:sz w:val="24"/>
          <w:szCs w:val="24"/>
          <w:lang w:eastAsia="pl-PL"/>
        </w:rPr>
        <w:t>to z</w:t>
      </w:r>
      <w:r w:rsidRPr="00DE5D02">
        <w:rPr>
          <w:rFonts w:ascii="Arial" w:eastAsia="Times New Roman" w:hAnsi="Arial" w:cs="Arial"/>
          <w:sz w:val="24"/>
          <w:szCs w:val="24"/>
          <w:lang w:eastAsia="pl-PL"/>
        </w:rPr>
        <w:t>biory</w:t>
      </w:r>
      <w:r>
        <w:rPr>
          <w:rFonts w:ascii="Arial" w:eastAsia="Times New Roman" w:hAnsi="Arial" w:cs="Arial"/>
          <w:sz w:val="24"/>
          <w:szCs w:val="24"/>
          <w:lang w:eastAsia="pl-PL"/>
        </w:rPr>
        <w:t>, które</w:t>
      </w:r>
      <w:r w:rsidRPr="00DE5D02">
        <w:rPr>
          <w:rFonts w:ascii="Arial" w:eastAsia="Times New Roman" w:hAnsi="Arial" w:cs="Arial"/>
          <w:sz w:val="24"/>
          <w:szCs w:val="24"/>
          <w:lang w:eastAsia="pl-PL"/>
        </w:rPr>
        <w:t xml:space="preserve"> zostały uporządkowane według głównych działów tematycznych:</w:t>
      </w:r>
    </w:p>
    <w:p w:rsidR="00C872DF" w:rsidRPr="00DE5D02" w:rsidRDefault="00C872DF" w:rsidP="00C872DF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Hlk241582856"/>
      <w:r w:rsidRPr="00DE5D02">
        <w:rPr>
          <w:rFonts w:ascii="Arial" w:eastAsia="Times New Roman" w:hAnsi="Arial" w:cs="Arial"/>
          <w:sz w:val="24"/>
          <w:szCs w:val="24"/>
          <w:lang w:eastAsia="pl-PL"/>
        </w:rPr>
        <w:t>ćwiczenia i aktywności językowe (</w:t>
      </w:r>
      <w:proofErr w:type="spellStart"/>
      <w:r w:rsidRPr="00DE5D02">
        <w:rPr>
          <w:rFonts w:ascii="Arial" w:eastAsia="Times New Roman" w:hAnsi="Arial" w:cs="Arial"/>
          <w:sz w:val="24"/>
          <w:szCs w:val="24"/>
          <w:lang w:eastAsia="pl-PL"/>
        </w:rPr>
        <w:t>Activités</w:t>
      </w:r>
      <w:proofErr w:type="spellEnd"/>
      <w:r w:rsidRPr="00DE5D02">
        <w:rPr>
          <w:rFonts w:ascii="Arial" w:eastAsia="Times New Roman" w:hAnsi="Arial" w:cs="Arial"/>
          <w:sz w:val="24"/>
          <w:szCs w:val="24"/>
          <w:lang w:eastAsia="pl-PL"/>
        </w:rPr>
        <w:t>);</w:t>
      </w:r>
    </w:p>
    <w:p w:rsidR="00C872DF" w:rsidRPr="00DE5D02" w:rsidRDefault="00C872DF" w:rsidP="00C872DF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E5D02">
        <w:rPr>
          <w:rFonts w:ascii="Arial" w:eastAsia="Times New Roman" w:hAnsi="Arial" w:cs="Arial"/>
          <w:sz w:val="24"/>
          <w:szCs w:val="24"/>
          <w:lang w:eastAsia="pl-PL"/>
        </w:rPr>
        <w:t>gramatyka (</w:t>
      </w:r>
      <w:proofErr w:type="spellStart"/>
      <w:r w:rsidRPr="00DE5D02">
        <w:rPr>
          <w:rFonts w:ascii="Arial" w:eastAsia="Times New Roman" w:hAnsi="Arial" w:cs="Arial"/>
          <w:sz w:val="24"/>
          <w:szCs w:val="24"/>
          <w:lang w:eastAsia="pl-PL"/>
        </w:rPr>
        <w:t>Grammaire</w:t>
      </w:r>
      <w:proofErr w:type="spellEnd"/>
      <w:r w:rsidRPr="00DE5D02">
        <w:rPr>
          <w:rFonts w:ascii="Arial" w:eastAsia="Times New Roman" w:hAnsi="Arial" w:cs="Arial"/>
          <w:sz w:val="24"/>
          <w:szCs w:val="24"/>
          <w:lang w:eastAsia="pl-PL"/>
        </w:rPr>
        <w:t>);</w:t>
      </w:r>
    </w:p>
    <w:p w:rsidR="00C872DF" w:rsidRPr="00DE5D02" w:rsidRDefault="00C872DF" w:rsidP="00C872DF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E5D02">
        <w:rPr>
          <w:rFonts w:ascii="Arial" w:eastAsia="Times New Roman" w:hAnsi="Arial" w:cs="Arial"/>
          <w:sz w:val="24"/>
          <w:szCs w:val="24"/>
          <w:lang w:eastAsia="pl-PL"/>
        </w:rPr>
        <w:t>językoznawstwo (</w:t>
      </w:r>
      <w:proofErr w:type="spellStart"/>
      <w:r w:rsidRPr="00DE5D02">
        <w:rPr>
          <w:rFonts w:ascii="Arial" w:eastAsia="Times New Roman" w:hAnsi="Arial" w:cs="Arial"/>
          <w:sz w:val="24"/>
          <w:szCs w:val="24"/>
          <w:lang w:eastAsia="pl-PL"/>
        </w:rPr>
        <w:t>Linguistique</w:t>
      </w:r>
      <w:proofErr w:type="spellEnd"/>
      <w:r w:rsidRPr="00DE5D02">
        <w:rPr>
          <w:rFonts w:ascii="Arial" w:eastAsia="Times New Roman" w:hAnsi="Arial" w:cs="Arial"/>
          <w:sz w:val="24"/>
          <w:szCs w:val="24"/>
          <w:lang w:eastAsia="pl-PL"/>
        </w:rPr>
        <w:t>);</w:t>
      </w:r>
    </w:p>
    <w:p w:rsidR="00C872DF" w:rsidRPr="00DE5D02" w:rsidRDefault="00C872DF" w:rsidP="00C872DF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E5D02">
        <w:rPr>
          <w:rFonts w:ascii="Arial" w:eastAsia="Times New Roman" w:hAnsi="Arial" w:cs="Arial"/>
          <w:sz w:val="24"/>
          <w:szCs w:val="24"/>
          <w:lang w:eastAsia="pl-PL"/>
        </w:rPr>
        <w:t>metodyka nauczania (</w:t>
      </w:r>
      <w:proofErr w:type="spellStart"/>
      <w:r w:rsidRPr="00DE5D02">
        <w:rPr>
          <w:rFonts w:ascii="Arial" w:eastAsia="Times New Roman" w:hAnsi="Arial" w:cs="Arial"/>
          <w:sz w:val="24"/>
          <w:szCs w:val="24"/>
          <w:lang w:eastAsia="pl-PL"/>
        </w:rPr>
        <w:t>Méthodologie</w:t>
      </w:r>
      <w:proofErr w:type="spellEnd"/>
      <w:r w:rsidRPr="00DE5D02">
        <w:rPr>
          <w:rFonts w:ascii="Arial" w:eastAsia="Times New Roman" w:hAnsi="Arial" w:cs="Arial"/>
          <w:sz w:val="24"/>
          <w:szCs w:val="24"/>
          <w:lang w:eastAsia="pl-PL"/>
        </w:rPr>
        <w:t>);</w:t>
      </w:r>
    </w:p>
    <w:p w:rsidR="00C872DF" w:rsidRPr="00DE5D02" w:rsidRDefault="00C872DF" w:rsidP="00C872DF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E5D02">
        <w:rPr>
          <w:rFonts w:ascii="Arial" w:eastAsia="Times New Roman" w:hAnsi="Arial" w:cs="Arial"/>
          <w:sz w:val="24"/>
          <w:szCs w:val="24"/>
          <w:lang w:eastAsia="pl-PL"/>
        </w:rPr>
        <w:t>dydaktyka (</w:t>
      </w:r>
      <w:proofErr w:type="spellStart"/>
      <w:r w:rsidRPr="00DE5D02">
        <w:rPr>
          <w:rFonts w:ascii="Arial" w:eastAsia="Times New Roman" w:hAnsi="Arial" w:cs="Arial"/>
          <w:sz w:val="24"/>
          <w:szCs w:val="24"/>
          <w:lang w:eastAsia="pl-PL"/>
        </w:rPr>
        <w:t>Didactique</w:t>
      </w:r>
      <w:proofErr w:type="spellEnd"/>
      <w:r w:rsidRPr="00DE5D02">
        <w:rPr>
          <w:rFonts w:ascii="Arial" w:eastAsia="Times New Roman" w:hAnsi="Arial" w:cs="Arial"/>
          <w:sz w:val="24"/>
          <w:szCs w:val="24"/>
          <w:lang w:eastAsia="pl-PL"/>
        </w:rPr>
        <w:t>);</w:t>
      </w:r>
    </w:p>
    <w:p w:rsidR="00C872DF" w:rsidRPr="00DE5D02" w:rsidRDefault="00C872DF" w:rsidP="00C872DF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E5D02">
        <w:rPr>
          <w:rFonts w:ascii="Arial" w:eastAsia="Times New Roman" w:hAnsi="Arial" w:cs="Arial"/>
          <w:sz w:val="24"/>
          <w:szCs w:val="24"/>
          <w:lang w:eastAsia="pl-PL"/>
        </w:rPr>
        <w:t>literatura (</w:t>
      </w:r>
      <w:proofErr w:type="spellStart"/>
      <w:r w:rsidRPr="00DE5D02">
        <w:rPr>
          <w:rFonts w:ascii="Arial" w:eastAsia="Times New Roman" w:hAnsi="Arial" w:cs="Arial"/>
          <w:sz w:val="24"/>
          <w:szCs w:val="24"/>
          <w:lang w:eastAsia="pl-PL"/>
        </w:rPr>
        <w:t>Littérature</w:t>
      </w:r>
      <w:proofErr w:type="spellEnd"/>
      <w:r w:rsidRPr="00DE5D02">
        <w:rPr>
          <w:rFonts w:ascii="Arial" w:eastAsia="Times New Roman" w:hAnsi="Arial" w:cs="Arial"/>
          <w:sz w:val="24"/>
          <w:szCs w:val="24"/>
          <w:lang w:eastAsia="pl-PL"/>
        </w:rPr>
        <w:t>);</w:t>
      </w:r>
    </w:p>
    <w:p w:rsidR="00C872DF" w:rsidRPr="00DE5D02" w:rsidRDefault="00C872DF" w:rsidP="00C872DF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E5D02">
        <w:rPr>
          <w:rFonts w:ascii="Arial" w:eastAsia="Times New Roman" w:hAnsi="Arial" w:cs="Arial"/>
          <w:sz w:val="24"/>
          <w:szCs w:val="24"/>
          <w:lang w:eastAsia="pl-PL"/>
        </w:rPr>
        <w:t>psychologia i pedagogika (</w:t>
      </w:r>
      <w:proofErr w:type="spellStart"/>
      <w:r w:rsidRPr="00DE5D02">
        <w:rPr>
          <w:rFonts w:ascii="Arial" w:eastAsia="Times New Roman" w:hAnsi="Arial" w:cs="Arial"/>
          <w:sz w:val="24"/>
          <w:szCs w:val="24"/>
          <w:lang w:eastAsia="pl-PL"/>
        </w:rPr>
        <w:t>Psycho-pédagogie</w:t>
      </w:r>
      <w:proofErr w:type="spellEnd"/>
      <w:r w:rsidRPr="00DE5D02">
        <w:rPr>
          <w:rFonts w:ascii="Arial" w:eastAsia="Times New Roman" w:hAnsi="Arial" w:cs="Arial"/>
          <w:sz w:val="24"/>
          <w:szCs w:val="24"/>
          <w:lang w:eastAsia="pl-PL"/>
        </w:rPr>
        <w:t>).</w:t>
      </w:r>
    </w:p>
    <w:bookmarkEnd w:id="1"/>
    <w:p w:rsidR="00C872DF" w:rsidRPr="00DE5D02" w:rsidRDefault="00C872DF" w:rsidP="00C872D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E5D02">
        <w:rPr>
          <w:rFonts w:ascii="Arial" w:eastAsia="Times New Roman" w:hAnsi="Arial" w:cs="Arial"/>
          <w:sz w:val="24"/>
          <w:szCs w:val="24"/>
          <w:lang w:eastAsia="pl-PL"/>
        </w:rPr>
        <w:t>Kolekcja obejmuje podręczniki i materiały do nauki języka francuskiego, publikacje            z zakresu dydaktyki i metodyki nauczania, a także słowniki, encyklopedie oraz literaturę francuskojęzyczną.</w:t>
      </w:r>
    </w:p>
    <w:p w:rsidR="00C872DF" w:rsidRPr="00DE5D02" w:rsidRDefault="00C872DF" w:rsidP="00C872D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E5D02">
        <w:rPr>
          <w:rFonts w:ascii="Arial" w:eastAsia="Times New Roman" w:hAnsi="Arial" w:cs="Arial"/>
          <w:sz w:val="24"/>
          <w:szCs w:val="24"/>
          <w:lang w:eastAsia="pl-PL"/>
        </w:rPr>
        <w:t>Na szczególną uwagę zasługuje bogaty wybór metod do nauki języka francuskiego, obejmujący publikacje wydawane od pierwszej połowy XX wieku do czasów współczesnych, przeznaczone dla różnych poziomów nauczania.</w:t>
      </w:r>
    </w:p>
    <w:p w:rsidR="00C872DF" w:rsidRPr="00DE5D02" w:rsidRDefault="00C872DF" w:rsidP="00C872D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E5D02">
        <w:rPr>
          <w:rFonts w:ascii="Arial" w:eastAsia="Times New Roman" w:hAnsi="Arial" w:cs="Arial"/>
          <w:sz w:val="24"/>
          <w:szCs w:val="24"/>
          <w:lang w:eastAsia="pl-PL"/>
        </w:rPr>
        <w:t>Kolekcję uzupełnia literatura frankofońska, w szczególności publikacje poświęcone Belgii, Szwajcarii i Kanadzie, w tym Quebekowi, a także krajom Afryki francuskojęzycznej.</w:t>
      </w:r>
    </w:p>
    <w:p w:rsidR="0051168A" w:rsidRDefault="0051168A"/>
    <w:sectPr w:rsidR="005116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5230C"/>
    <w:multiLevelType w:val="hybridMultilevel"/>
    <w:tmpl w:val="9BD840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2DF"/>
    <w:rsid w:val="0051168A"/>
    <w:rsid w:val="00C8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EE3DE"/>
  <w15:chartTrackingRefBased/>
  <w15:docId w15:val="{633D123D-FE70-49D5-B28E-3DF4987B7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72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nkja</dc:creator>
  <cp:keywords/>
  <dc:description/>
  <cp:lastModifiedBy>nkja</cp:lastModifiedBy>
  <cp:revision>1</cp:revision>
  <dcterms:created xsi:type="dcterms:W3CDTF">2026-10-05T13:10:00Z</dcterms:created>
  <dcterms:modified xsi:type="dcterms:W3CDTF">2026-10-05T13:11:00Z</dcterms:modified>
</cp:coreProperties>
</file>